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89" w:rsidRPr="00994A9E" w:rsidRDefault="00CB1989" w:rsidP="00CB1989">
      <w:pPr>
        <w:jc w:val="center"/>
        <w:rPr>
          <w:b/>
          <w:bCs/>
          <w:u w:val="single"/>
          <w:rtl/>
        </w:rPr>
      </w:pPr>
      <w:bookmarkStart w:id="0" w:name="_GoBack"/>
      <w:bookmarkEnd w:id="0"/>
      <w:proofErr w:type="spellStart"/>
      <w:r w:rsidRPr="00994A9E">
        <w:rPr>
          <w:rFonts w:hint="cs"/>
          <w:b/>
          <w:bCs/>
          <w:sz w:val="28"/>
          <w:szCs w:val="28"/>
          <w:u w:val="single"/>
          <w:rtl/>
        </w:rPr>
        <w:t>חוו"ד</w:t>
      </w:r>
      <w:proofErr w:type="spellEnd"/>
      <w:r w:rsidRPr="00994A9E">
        <w:rPr>
          <w:rFonts w:hint="cs"/>
          <w:b/>
          <w:bCs/>
          <w:sz w:val="28"/>
          <w:szCs w:val="28"/>
          <w:u w:val="single"/>
          <w:rtl/>
        </w:rPr>
        <w:t xml:space="preserve"> בעניין החובה לשלם פיצויי פיטורים בנסיבות של הפסקת יחסי עבודה על רקע סיום אשרת שהיה</w:t>
      </w:r>
    </w:p>
    <w:p w:rsidR="00CB1989" w:rsidRDefault="00CB1989" w:rsidP="00CB1989">
      <w:pPr>
        <w:rPr>
          <w:rtl/>
        </w:rPr>
      </w:pPr>
    </w:p>
    <w:p w:rsidR="00CB1989" w:rsidRDefault="00CB1989" w:rsidP="00CB1989">
      <w:pPr>
        <w:rPr>
          <w:rtl/>
        </w:rPr>
      </w:pPr>
      <w:r w:rsidRPr="00994A9E">
        <w:rPr>
          <w:rFonts w:hint="cs"/>
          <w:u w:val="single"/>
          <w:rtl/>
        </w:rPr>
        <w:t>בנסיבות שלהלן</w:t>
      </w:r>
      <w:r>
        <w:rPr>
          <w:rFonts w:hint="cs"/>
          <w:rtl/>
        </w:rPr>
        <w:t>:-</w:t>
      </w:r>
    </w:p>
    <w:p w:rsidR="00CB1989" w:rsidRPr="000C3457" w:rsidRDefault="00CB1989" w:rsidP="00CB1989">
      <w:pPr>
        <w:spacing w:after="0"/>
        <w:rPr>
          <w:b/>
          <w:bCs/>
          <w:rtl/>
        </w:rPr>
      </w:pPr>
      <w:r w:rsidRPr="000C3457">
        <w:rPr>
          <w:rFonts w:hint="cs"/>
          <w:b/>
          <w:bCs/>
          <w:rtl/>
        </w:rPr>
        <w:t xml:space="preserve">אדם שהסתנן לישראל מסיבות השמורות </w:t>
      </w:r>
      <w:proofErr w:type="spellStart"/>
      <w:r w:rsidRPr="000C3457">
        <w:rPr>
          <w:rFonts w:hint="cs"/>
          <w:b/>
          <w:bCs/>
          <w:rtl/>
        </w:rPr>
        <w:t>עימו</w:t>
      </w:r>
      <w:proofErr w:type="spellEnd"/>
      <w:r w:rsidRPr="000C3457">
        <w:rPr>
          <w:rFonts w:hint="cs"/>
          <w:b/>
          <w:bCs/>
          <w:rtl/>
        </w:rPr>
        <w:t xml:space="preserve">. </w:t>
      </w:r>
    </w:p>
    <w:p w:rsidR="00CB1989" w:rsidRPr="000C3457" w:rsidRDefault="00CB1989" w:rsidP="00CB1989">
      <w:pPr>
        <w:spacing w:after="0"/>
        <w:rPr>
          <w:b/>
          <w:bCs/>
          <w:rtl/>
        </w:rPr>
      </w:pPr>
      <w:r w:rsidRPr="000C3457">
        <w:rPr>
          <w:rFonts w:hint="cs"/>
          <w:b/>
          <w:bCs/>
          <w:rtl/>
        </w:rPr>
        <w:t>שהה כאן ועבד כאן במשך תקופה. באשרת שהיה זמנית שלא לצורך עבודה.</w:t>
      </w:r>
    </w:p>
    <w:p w:rsidR="00CB1989" w:rsidRPr="000C3457" w:rsidRDefault="00CB1989" w:rsidP="00CB1989">
      <w:pPr>
        <w:spacing w:after="0"/>
        <w:rPr>
          <w:b/>
          <w:bCs/>
          <w:rtl/>
        </w:rPr>
      </w:pPr>
      <w:r w:rsidRPr="000C3457">
        <w:rPr>
          <w:rFonts w:hint="cs"/>
          <w:b/>
          <w:bCs/>
          <w:rtl/>
        </w:rPr>
        <w:t xml:space="preserve">ביום מסוים הפסיק עבודתו, </w:t>
      </w:r>
    </w:p>
    <w:p w:rsidR="00CB1989" w:rsidRPr="000C3457" w:rsidRDefault="00CB1989" w:rsidP="00CB1989">
      <w:pPr>
        <w:spacing w:after="0"/>
        <w:rPr>
          <w:b/>
          <w:bCs/>
          <w:rtl/>
        </w:rPr>
      </w:pPr>
      <w:r w:rsidRPr="000C3457">
        <w:rPr>
          <w:rFonts w:hint="cs"/>
          <w:b/>
          <w:bCs/>
          <w:rtl/>
        </w:rPr>
        <w:t xml:space="preserve">כי ביקש לצאת מרצונו מישראל, </w:t>
      </w:r>
    </w:p>
    <w:p w:rsidR="00CB1989" w:rsidRPr="000C3457" w:rsidRDefault="00CB1989" w:rsidP="00CB1989">
      <w:pPr>
        <w:spacing w:after="0"/>
        <w:rPr>
          <w:b/>
          <w:bCs/>
          <w:rtl/>
        </w:rPr>
      </w:pPr>
      <w:r w:rsidRPr="000C3457">
        <w:rPr>
          <w:rFonts w:hint="cs"/>
          <w:b/>
          <w:bCs/>
          <w:rtl/>
        </w:rPr>
        <w:t xml:space="preserve">או </w:t>
      </w:r>
    </w:p>
    <w:p w:rsidR="00CB1989" w:rsidRPr="000C3457" w:rsidRDefault="00CB1989" w:rsidP="00CB1989">
      <w:pPr>
        <w:rPr>
          <w:b/>
          <w:bCs/>
          <w:rtl/>
        </w:rPr>
      </w:pPr>
      <w:r w:rsidRPr="000C3457">
        <w:rPr>
          <w:rFonts w:hint="cs"/>
          <w:b/>
          <w:bCs/>
          <w:rtl/>
        </w:rPr>
        <w:t xml:space="preserve">כי קיבל הוראה להתייצב במתקן השהיה בחולות, עד אשר יוחלט בעניינו או שיצא מישראל מרצונו  - </w:t>
      </w:r>
    </w:p>
    <w:p w:rsidR="00CB1989" w:rsidRPr="000C3457" w:rsidRDefault="00CB1989" w:rsidP="00CB1989">
      <w:pPr>
        <w:rPr>
          <w:b/>
          <w:bCs/>
          <w:sz w:val="28"/>
          <w:szCs w:val="28"/>
          <w:rtl/>
        </w:rPr>
      </w:pPr>
      <w:r w:rsidRPr="000C3457">
        <w:rPr>
          <w:rFonts w:hint="cs"/>
          <w:b/>
          <w:bCs/>
          <w:sz w:val="28"/>
          <w:szCs w:val="28"/>
          <w:rtl/>
        </w:rPr>
        <w:t>יהיה זכאי לקבל פיצויי פיטורים.</w:t>
      </w:r>
    </w:p>
    <w:p w:rsidR="00CB1989" w:rsidRDefault="00CB1989" w:rsidP="00CB1989">
      <w:pPr>
        <w:rPr>
          <w:rtl/>
        </w:rPr>
      </w:pPr>
    </w:p>
    <w:p w:rsidR="00CB1989" w:rsidRDefault="00CB1989" w:rsidP="00CB1989">
      <w:pPr>
        <w:rPr>
          <w:rtl/>
        </w:rPr>
      </w:pPr>
      <w:r>
        <w:rPr>
          <w:rFonts w:hint="cs"/>
          <w:rtl/>
        </w:rPr>
        <w:t>עמדה זאת מתבססת על הבסיסים הנורמטיביים בחוק ובפסיקה כלהלן:-</w:t>
      </w:r>
    </w:p>
    <w:p w:rsidR="00CB1989" w:rsidRDefault="00CB1989" w:rsidP="00CB1989">
      <w:pPr>
        <w:rPr>
          <w:u w:val="single"/>
          <w:rtl/>
        </w:rPr>
      </w:pPr>
    </w:p>
    <w:p w:rsidR="00CB1989" w:rsidRDefault="00CB1989" w:rsidP="00CB1989">
      <w:pPr>
        <w:rPr>
          <w:rtl/>
        </w:rPr>
      </w:pPr>
      <w:r w:rsidRPr="00994A9E">
        <w:rPr>
          <w:rFonts w:hint="cs"/>
          <w:u w:val="single"/>
          <w:rtl/>
        </w:rPr>
        <w:t>הבסיס הנורמטיבי בחוק לחובת פיצויי פיטורים</w:t>
      </w:r>
      <w:r>
        <w:rPr>
          <w:rFonts w:hint="cs"/>
          <w:rtl/>
        </w:rPr>
        <w:t>:</w:t>
      </w:r>
    </w:p>
    <w:p w:rsidR="00CB1989" w:rsidRPr="00994A9E" w:rsidRDefault="00CB1989" w:rsidP="00CB1989">
      <w:pPr>
        <w:rPr>
          <w:b/>
          <w:bCs/>
          <w:rtl/>
        </w:rPr>
      </w:pPr>
      <w:r>
        <w:rPr>
          <w:rFonts w:hint="cs"/>
          <w:b/>
          <w:bCs/>
          <w:rtl/>
        </w:rPr>
        <w:t>סע' 1 ל</w:t>
      </w:r>
      <w:r w:rsidRPr="00994A9E">
        <w:rPr>
          <w:rFonts w:hint="cs"/>
          <w:b/>
          <w:bCs/>
          <w:rtl/>
        </w:rPr>
        <w:t>חוק פיצויי פיטורים</w:t>
      </w:r>
      <w:r>
        <w:rPr>
          <w:rStyle w:val="ab"/>
          <w:b/>
          <w:bCs/>
          <w:rtl/>
        </w:rPr>
        <w:footnoteReference w:id="1"/>
      </w:r>
    </w:p>
    <w:p w:rsidR="00CB1989" w:rsidRPr="00994A9E" w:rsidRDefault="00CB1989" w:rsidP="00CB1989">
      <w:pPr>
        <w:rPr>
          <w:b/>
          <w:bCs/>
          <w:rtl/>
        </w:rPr>
      </w:pPr>
      <w:r>
        <w:rPr>
          <w:rFonts w:hint="cs"/>
          <w:b/>
          <w:bCs/>
          <w:rtl/>
        </w:rPr>
        <w:t>סע' 8 ל</w:t>
      </w:r>
      <w:r w:rsidRPr="00994A9E">
        <w:rPr>
          <w:rFonts w:hint="cs"/>
          <w:b/>
          <w:bCs/>
          <w:rtl/>
        </w:rPr>
        <w:t>צו הרחבה בנוגע לפנסיה</w:t>
      </w:r>
      <w:r>
        <w:rPr>
          <w:rStyle w:val="ab"/>
          <w:b/>
          <w:bCs/>
          <w:rtl/>
        </w:rPr>
        <w:footnoteReference w:id="2"/>
      </w:r>
    </w:p>
    <w:p w:rsidR="00CB1989" w:rsidRPr="000C3457" w:rsidRDefault="00CB1989" w:rsidP="00CB1989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א</w:t>
      </w:r>
      <w:r w:rsidRPr="000C3457">
        <w:rPr>
          <w:rFonts w:hint="cs"/>
          <w:b/>
          <w:bCs/>
          <w:sz w:val="24"/>
          <w:szCs w:val="24"/>
          <w:u w:val="single"/>
          <w:rtl/>
        </w:rPr>
        <w:t xml:space="preserve">שר על כן </w:t>
      </w:r>
    </w:p>
    <w:p w:rsidR="00CB1989" w:rsidRDefault="00CB1989" w:rsidP="00CB1989">
      <w:pPr>
        <w:spacing w:after="0"/>
        <w:rPr>
          <w:rtl/>
        </w:rPr>
      </w:pPr>
      <w:r w:rsidRPr="00CB1989">
        <w:rPr>
          <w:rFonts w:hint="cs"/>
          <w:u w:val="single"/>
          <w:rtl/>
        </w:rPr>
        <w:t>חלק גדול מהסכום יועבר לאדם זה במסגרת הסכומים שהופרשו ונחסכו מכוח צו ההרחבה בעניין הפנסיה</w:t>
      </w:r>
      <w:r w:rsidRPr="006C739C">
        <w:rPr>
          <w:rFonts w:hint="cs"/>
          <w:rtl/>
        </w:rPr>
        <w:t xml:space="preserve"> </w:t>
      </w:r>
      <w:r w:rsidRPr="006C739C">
        <w:rPr>
          <w:rtl/>
        </w:rPr>
        <w:t>–</w:t>
      </w:r>
      <w:r w:rsidRPr="006C739C">
        <w:rPr>
          <w:rFonts w:hint="cs"/>
          <w:rtl/>
        </w:rPr>
        <w:t xml:space="preserve"> </w:t>
      </w:r>
    </w:p>
    <w:p w:rsidR="00CB1989" w:rsidRDefault="00CB1989" w:rsidP="00CB1989">
      <w:pPr>
        <w:spacing w:after="0"/>
        <w:rPr>
          <w:rtl/>
        </w:rPr>
      </w:pPr>
      <w:r>
        <w:rPr>
          <w:rFonts w:hint="cs"/>
          <w:rtl/>
        </w:rPr>
        <w:t>(בכפוף לכך שאין מניעה, כמפורט בצו, למסור לו את הכספים (לפי סע' 16 ו-17 לח' פיצויי פיטורים)</w:t>
      </w:r>
      <w:r w:rsidRPr="00E427B3">
        <w:rPr>
          <w:rFonts w:hint="cs"/>
          <w:rtl/>
        </w:rPr>
        <w:t xml:space="preserve">. </w:t>
      </w:r>
    </w:p>
    <w:p w:rsidR="00CB1989" w:rsidRDefault="00CB1989" w:rsidP="00CB1989">
      <w:pPr>
        <w:rPr>
          <w:rtl/>
        </w:rPr>
      </w:pPr>
      <w:r>
        <w:rPr>
          <w:rFonts w:hint="cs"/>
          <w:rtl/>
        </w:rPr>
        <w:lastRenderedPageBreak/>
        <w:t xml:space="preserve">הוא יקבל רכיב זה (פיצויי הפיטורים שנחסכו לפי צו ההרחבה בנוגע לפנסיה), ביחד עם יתר הרכיבים שנחסכו בחסכון הפנסיוני בהתאם לצו, במועד סמוך ליציאתו מהארץ או במועד זכאותו לפנסיית </w:t>
      </w:r>
      <w:proofErr w:type="spellStart"/>
      <w:r>
        <w:rPr>
          <w:rFonts w:hint="cs"/>
          <w:rtl/>
        </w:rPr>
        <w:t>זיקנה</w:t>
      </w:r>
      <w:proofErr w:type="spellEnd"/>
      <w:r>
        <w:rPr>
          <w:rFonts w:hint="cs"/>
          <w:rtl/>
        </w:rPr>
        <w:t>, כאמור בצו (במועד המוקדם)</w:t>
      </w:r>
      <w:r w:rsidRPr="00E427B3">
        <w:rPr>
          <w:rFonts w:hint="cs"/>
          <w:rtl/>
        </w:rPr>
        <w:t>.</w:t>
      </w:r>
    </w:p>
    <w:p w:rsidR="004F4D2C" w:rsidRDefault="004F4D2C" w:rsidP="00CB1989">
      <w:pPr>
        <w:rPr>
          <w:rtl/>
        </w:rPr>
      </w:pPr>
      <w:r>
        <w:rPr>
          <w:rFonts w:hint="cs"/>
          <w:rtl/>
        </w:rPr>
        <w:t xml:space="preserve">אם לא הופרשו כספים כחוק בגין עבודתו של עובד זה לפי הוראות צו ההרחבה </w:t>
      </w:r>
      <w:r>
        <w:rPr>
          <w:rtl/>
        </w:rPr>
        <w:t>–</w:t>
      </w:r>
      <w:r>
        <w:rPr>
          <w:rFonts w:hint="cs"/>
          <w:rtl/>
        </w:rPr>
        <w:t xml:space="preserve"> העובד יהיה זכאי בהתאם להלכה הפסוקה</w:t>
      </w:r>
      <w:r w:rsidR="00E8509A">
        <w:rPr>
          <w:rStyle w:val="ab"/>
          <w:rtl/>
        </w:rPr>
        <w:footnoteReference w:id="3"/>
      </w:r>
      <w:r>
        <w:rPr>
          <w:rFonts w:hint="cs"/>
          <w:rtl/>
        </w:rPr>
        <w:t xml:space="preserve"> </w:t>
      </w:r>
      <w:r w:rsidR="00E8509A">
        <w:rPr>
          <w:rFonts w:hint="cs"/>
          <w:rtl/>
        </w:rPr>
        <w:t xml:space="preserve"> </w:t>
      </w:r>
      <w:r>
        <w:rPr>
          <w:rFonts w:hint="cs"/>
          <w:rtl/>
        </w:rPr>
        <w:t xml:space="preserve">לקבל את כל הכספים אשר לא הופרשו עד למועד סיום עבודתו, לרבות רכיב ההפרשה ע"ח פיצויי פיטורים </w:t>
      </w:r>
      <w:r>
        <w:rPr>
          <w:rtl/>
        </w:rPr>
        <w:t>–</w:t>
      </w:r>
      <w:r>
        <w:rPr>
          <w:rFonts w:hint="cs"/>
          <w:rtl/>
        </w:rPr>
        <w:t xml:space="preserve"> כאמור לעיל.</w:t>
      </w:r>
    </w:p>
    <w:p w:rsidR="00CB1989" w:rsidRDefault="00CB1989" w:rsidP="00CB1989">
      <w:pPr>
        <w:rPr>
          <w:u w:val="single"/>
          <w:rtl/>
        </w:rPr>
      </w:pPr>
      <w:r w:rsidRPr="0047160F">
        <w:rPr>
          <w:rFonts w:hint="cs"/>
          <w:u w:val="single"/>
          <w:rtl/>
        </w:rPr>
        <w:t>לגבי יתרת הפיצויים</w:t>
      </w:r>
      <w:r>
        <w:rPr>
          <w:rFonts w:hint="cs"/>
          <w:u w:val="single"/>
          <w:rtl/>
        </w:rPr>
        <w:t xml:space="preserve"> </w:t>
      </w:r>
      <w:r>
        <w:rPr>
          <w:u w:val="single"/>
          <w:rtl/>
        </w:rPr>
        <w:t>–</w:t>
      </w:r>
    </w:p>
    <w:p w:rsidR="0047160F" w:rsidRDefault="00CB1989" w:rsidP="00E8509A">
      <w:pPr>
        <w:rPr>
          <w:rtl/>
        </w:rPr>
      </w:pPr>
      <w:r w:rsidRPr="00FF325D">
        <w:rPr>
          <w:rFonts w:hint="cs"/>
          <w:rtl/>
        </w:rPr>
        <w:t>אלה ישולמו בהתאם לחוק</w:t>
      </w:r>
      <w:r w:rsidR="00E8509A">
        <w:rPr>
          <w:rStyle w:val="ab"/>
          <w:rtl/>
        </w:rPr>
        <w:footnoteReference w:id="4"/>
      </w:r>
      <w:r w:rsidRPr="00FF325D">
        <w:rPr>
          <w:rFonts w:hint="cs"/>
          <w:rtl/>
        </w:rPr>
        <w:t xml:space="preserve"> ועל בסיס הקביעות </w:t>
      </w:r>
      <w:r>
        <w:rPr>
          <w:rFonts w:hint="cs"/>
          <w:rtl/>
        </w:rPr>
        <w:t xml:space="preserve">הרלבנטיות </w:t>
      </w:r>
      <w:r w:rsidRPr="00FF325D">
        <w:rPr>
          <w:rFonts w:hint="cs"/>
          <w:rtl/>
        </w:rPr>
        <w:t>של ביה"ד לעבודה</w:t>
      </w:r>
      <w:r>
        <w:rPr>
          <w:rStyle w:val="ab"/>
          <w:rtl/>
        </w:rPr>
        <w:footnoteReference w:id="5"/>
      </w:r>
      <w:r w:rsidRPr="00FF325D">
        <w:rPr>
          <w:rFonts w:hint="cs"/>
          <w:rtl/>
        </w:rPr>
        <w:t xml:space="preserve"> </w:t>
      </w:r>
      <w:r w:rsidRPr="00E53A38">
        <w:rPr>
          <w:rFonts w:hint="cs"/>
          <w:rtl/>
        </w:rPr>
        <w:t>ב</w:t>
      </w:r>
      <w:r>
        <w:rPr>
          <w:rFonts w:hint="cs"/>
          <w:rtl/>
        </w:rPr>
        <w:t>הם נקבע כי נכון וראוי לפרש המונח "פו</w:t>
      </w:r>
      <w:r w:rsidR="00E8509A">
        <w:rPr>
          <w:rFonts w:ascii="Arial" w:hAnsi="Arial"/>
          <w:rtl/>
        </w:rPr>
        <w:t>ּ</w:t>
      </w:r>
      <w:r>
        <w:rPr>
          <w:rFonts w:hint="cs"/>
          <w:rtl/>
        </w:rPr>
        <w:t>ט</w:t>
      </w:r>
      <w:r w:rsidR="00E8509A">
        <w:rPr>
          <w:rFonts w:ascii="Arial" w:hAnsi="Arial"/>
          <w:rtl/>
        </w:rPr>
        <w:t>ַ</w:t>
      </w:r>
      <w:r>
        <w:rPr>
          <w:rFonts w:hint="cs"/>
          <w:rtl/>
        </w:rPr>
        <w:t>ר" ככזה הכולל הפסקת יחסי עבודה בנסיבות של העסקת שוהה שלא כחוק אשר מסתיימת מחמת הרחקתו של השוהה מן הארץ.</w:t>
      </w:r>
    </w:p>
    <w:p w:rsidR="00CB1989" w:rsidRPr="0047160F" w:rsidRDefault="00CB1989" w:rsidP="00E8509A">
      <w:r>
        <w:rPr>
          <w:rFonts w:hint="cs"/>
          <w:rtl/>
        </w:rPr>
        <w:t xml:space="preserve">לא מיותר לציין כי הלכה זאת </w:t>
      </w:r>
      <w:r w:rsidR="00E8509A">
        <w:rPr>
          <w:rFonts w:hint="cs"/>
          <w:rtl/>
        </w:rPr>
        <w:t xml:space="preserve">- </w:t>
      </w:r>
      <w:r>
        <w:rPr>
          <w:rFonts w:hint="cs"/>
          <w:rtl/>
        </w:rPr>
        <w:t xml:space="preserve">של חיוב מעסיקים לשלם לעובדים בנסיבות של הפסקת יחסי עבודה של עובדים זרים עם מעסיקיהם, שאינה נובעת למעשה מהאינטרס של העובדים, אלא ממימוש אינטרסים של המדינה </w:t>
      </w:r>
      <w:r>
        <w:rPr>
          <w:rtl/>
        </w:rPr>
        <w:t>–</w:t>
      </w:r>
      <w:r>
        <w:rPr>
          <w:rFonts w:hint="cs"/>
          <w:rtl/>
        </w:rPr>
        <w:t xml:space="preserve"> הוכרה ע"י ביה"ד גם ב</w:t>
      </w:r>
      <w:r w:rsidR="00E8509A">
        <w:rPr>
          <w:rFonts w:hint="cs"/>
          <w:rtl/>
        </w:rPr>
        <w:t xml:space="preserve">פסקי דין </w:t>
      </w:r>
      <w:r>
        <w:rPr>
          <w:rFonts w:hint="cs"/>
          <w:rtl/>
        </w:rPr>
        <w:t>נוספים</w:t>
      </w:r>
      <w:r w:rsidR="0047160F">
        <w:rPr>
          <w:rStyle w:val="ab"/>
          <w:rtl/>
        </w:rPr>
        <w:footnoteReference w:id="6"/>
      </w:r>
      <w:r w:rsidR="00E8509A">
        <w:rPr>
          <w:rFonts w:hint="cs"/>
          <w:rtl/>
        </w:rPr>
        <w:t xml:space="preserve">, </w:t>
      </w:r>
      <w:r>
        <w:rPr>
          <w:rFonts w:hint="cs"/>
          <w:rtl/>
        </w:rPr>
        <w:t xml:space="preserve"> </w:t>
      </w:r>
      <w:r w:rsidR="006F3778">
        <w:rPr>
          <w:rFonts w:hint="cs"/>
          <w:rtl/>
        </w:rPr>
        <w:t xml:space="preserve">אשר בהם הובאה גם </w:t>
      </w:r>
      <w:r w:rsidR="0047160F" w:rsidRPr="0047160F">
        <w:rPr>
          <w:rFonts w:hint="cs"/>
          <w:rtl/>
        </w:rPr>
        <w:t>עמדת היועמ"ש ועמדת ארגוני המגזר השלישי</w:t>
      </w:r>
      <w:r w:rsidR="006F3778">
        <w:rPr>
          <w:rFonts w:hint="cs"/>
          <w:rtl/>
        </w:rPr>
        <w:t>.</w:t>
      </w:r>
    </w:p>
    <w:sectPr w:rsidR="00CB1989" w:rsidRPr="0047160F" w:rsidSect="00FF325D">
      <w:headerReference w:type="default" r:id="rId8"/>
      <w:footerReference w:type="default" r:id="rId9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93" w:rsidRDefault="00E94E93" w:rsidP="00CB1989">
      <w:pPr>
        <w:spacing w:after="0" w:line="240" w:lineRule="auto"/>
      </w:pPr>
      <w:r>
        <w:separator/>
      </w:r>
    </w:p>
  </w:endnote>
  <w:endnote w:type="continuationSeparator" w:id="0">
    <w:p w:rsidR="00E94E93" w:rsidRDefault="00E94E93" w:rsidP="00CB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D1" w:rsidRDefault="0047160F" w:rsidP="00E653EC">
    <w:pPr>
      <w:pStyle w:val="a5"/>
      <w:ind w:left="-766"/>
      <w:rPr>
        <w:rStyle w:val="Hyperlink"/>
        <w:rFonts w:ascii="Arial" w:hAnsi="Arial"/>
        <w:sz w:val="20"/>
        <w:szCs w:val="20"/>
        <w:rtl/>
      </w:rPr>
    </w:pPr>
    <w:r w:rsidRPr="006D2A39">
      <w:rPr>
        <w:rFonts w:ascii="Arial" w:hAnsi="Arial"/>
        <w:sz w:val="20"/>
        <w:szCs w:val="20"/>
        <w:rtl/>
      </w:rPr>
      <w:t>משרד הכלכלה</w:t>
    </w:r>
    <w:r w:rsidRPr="006D2A39">
      <w:rPr>
        <w:rFonts w:ascii="Arial" w:hAnsi="Arial"/>
        <w:sz w:val="20"/>
        <w:szCs w:val="20"/>
        <w:rtl/>
      </w:rPr>
      <w:br/>
      <w:t>דרך של</w:t>
    </w:r>
    <w:r>
      <w:rPr>
        <w:rFonts w:ascii="Arial" w:hAnsi="Arial"/>
        <w:sz w:val="20"/>
        <w:szCs w:val="20"/>
        <w:rtl/>
      </w:rPr>
      <w:t>מה (</w:t>
    </w:r>
    <w:proofErr w:type="spellStart"/>
    <w:r>
      <w:rPr>
        <w:rFonts w:ascii="Arial" w:hAnsi="Arial"/>
        <w:sz w:val="20"/>
        <w:szCs w:val="20"/>
        <w:rtl/>
      </w:rPr>
      <w:t>סלמה</w:t>
    </w:r>
    <w:proofErr w:type="spellEnd"/>
    <w:r>
      <w:rPr>
        <w:rFonts w:ascii="Arial" w:hAnsi="Arial"/>
        <w:sz w:val="20"/>
        <w:szCs w:val="20"/>
        <w:rtl/>
      </w:rPr>
      <w:t>) 53, ת"ד 393 תל אביב 6</w:t>
    </w:r>
    <w:r w:rsidRPr="006D2A39">
      <w:rPr>
        <w:rFonts w:ascii="Arial" w:hAnsi="Arial"/>
        <w:sz w:val="20"/>
        <w:szCs w:val="20"/>
        <w:rtl/>
      </w:rPr>
      <w:t>100301</w:t>
    </w:r>
    <w:r w:rsidRPr="006D2A39">
      <w:rPr>
        <w:rFonts w:ascii="Arial" w:hAnsi="Arial"/>
        <w:sz w:val="20"/>
        <w:szCs w:val="20"/>
        <w:rtl/>
      </w:rPr>
      <w:br/>
      <w:t>טל' 03-7347230, פקס 03-7347269, נייד 050-6240546,</w:t>
    </w:r>
    <w:r>
      <w:rPr>
        <w:rFonts w:ascii="Arial" w:hAnsi="Arial" w:hint="cs"/>
        <w:sz w:val="20"/>
        <w:szCs w:val="20"/>
        <w:rtl/>
      </w:rPr>
      <w:t xml:space="preserve"> </w:t>
    </w:r>
    <w:r w:rsidRPr="00EB18AE">
      <w:rPr>
        <w:rFonts w:ascii="Arial" w:hAnsi="Arial"/>
        <w:sz w:val="20"/>
        <w:szCs w:val="20"/>
      </w:rPr>
      <w:t>iris.maayan@economy.gov.il</w:t>
    </w:r>
  </w:p>
  <w:p w:rsidR="00434DD1" w:rsidRDefault="00E552C4" w:rsidP="00E653EC">
    <w:pPr>
      <w:pStyle w:val="a5"/>
      <w:ind w:left="-766"/>
      <w:rPr>
        <w:rtl/>
      </w:rPr>
    </w:pPr>
  </w:p>
  <w:p w:rsidR="00434DD1" w:rsidRDefault="00E552C4" w:rsidP="00FF325D">
    <w:pPr>
      <w:pStyle w:val="a5"/>
      <w:ind w:hanging="1759"/>
      <w:rPr>
        <w:noProof/>
      </w:rPr>
    </w:pPr>
  </w:p>
  <w:p w:rsidR="00434DD1" w:rsidRDefault="00E552C4" w:rsidP="00FF325D">
    <w:pPr>
      <w:pStyle w:val="a5"/>
      <w:ind w:hanging="175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93" w:rsidRDefault="00E94E93" w:rsidP="00CB1989">
      <w:pPr>
        <w:spacing w:after="0" w:line="240" w:lineRule="auto"/>
      </w:pPr>
      <w:r>
        <w:separator/>
      </w:r>
    </w:p>
  </w:footnote>
  <w:footnote w:type="continuationSeparator" w:id="0">
    <w:p w:rsidR="00E94E93" w:rsidRDefault="00E94E93" w:rsidP="00CB1989">
      <w:pPr>
        <w:spacing w:after="0" w:line="240" w:lineRule="auto"/>
      </w:pPr>
      <w:r>
        <w:continuationSeparator/>
      </w:r>
    </w:p>
  </w:footnote>
  <w:footnote w:id="1">
    <w:p w:rsidR="00CB1989" w:rsidRPr="00994A9E" w:rsidRDefault="00CB1989" w:rsidP="00CB1989">
      <w:pPr>
        <w:pStyle w:val="P00"/>
        <w:spacing w:before="72"/>
        <w:ind w:left="0" w:right="1134"/>
        <w:rPr>
          <w:rStyle w:val="big-number"/>
          <w:rFonts w:cs="Miriam"/>
          <w:sz w:val="22"/>
          <w:szCs w:val="22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994A9E">
        <w:rPr>
          <w:rStyle w:val="big-number"/>
          <w:rFonts w:cs="Miriam" w:hint="cs"/>
          <w:sz w:val="22"/>
          <w:szCs w:val="22"/>
          <w:rtl/>
        </w:rPr>
        <w:t>הזכות לפיצויי פיטורים</w:t>
      </w:r>
    </w:p>
    <w:p w:rsidR="00CB1989" w:rsidRPr="00CB1989" w:rsidRDefault="00CB1989" w:rsidP="00CB1989">
      <w:pPr>
        <w:pStyle w:val="a9"/>
      </w:pPr>
      <w:r>
        <w:rPr>
          <w:rStyle w:val="big-number"/>
          <w:rFonts w:cs="Miriam" w:hint="cs"/>
          <w:rtl/>
        </w:rPr>
        <w:t>1</w:t>
      </w:r>
      <w:r>
        <w:rPr>
          <w:rStyle w:val="big-number"/>
          <w:rFonts w:cs="Miriam"/>
          <w:rtl/>
        </w:rPr>
        <w:t>.</w:t>
      </w:r>
      <w:r>
        <w:rPr>
          <w:rStyle w:val="big-number"/>
          <w:rFonts w:cs="Miriam"/>
          <w:rtl/>
        </w:rPr>
        <w:tab/>
      </w:r>
      <w:r>
        <w:rPr>
          <w:rStyle w:val="default"/>
          <w:rFonts w:cs="FrankRuehl"/>
          <w:rtl/>
        </w:rPr>
        <w:t>(א</w:t>
      </w:r>
      <w:r>
        <w:rPr>
          <w:rStyle w:val="default"/>
          <w:rFonts w:cs="FrankRuehl" w:hint="cs"/>
          <w:rtl/>
        </w:rPr>
        <w:t>)</w:t>
      </w:r>
      <w:r>
        <w:rPr>
          <w:rStyle w:val="default"/>
          <w:rFonts w:cs="FrankRuehl"/>
          <w:rtl/>
        </w:rPr>
        <w:tab/>
        <w:t>מ</w:t>
      </w:r>
      <w:r>
        <w:rPr>
          <w:rStyle w:val="default"/>
          <w:rFonts w:cs="FrankRuehl" w:hint="cs"/>
          <w:rtl/>
        </w:rPr>
        <w:t xml:space="preserve">י שעבד שנה אחת ברציפות </w:t>
      </w:r>
      <w:r>
        <w:rPr>
          <w:rStyle w:val="default"/>
          <w:rFonts w:cs="FrankRuehl"/>
          <w:rtl/>
        </w:rPr>
        <w:t xml:space="preserve">– </w:t>
      </w:r>
      <w:r>
        <w:rPr>
          <w:rStyle w:val="default"/>
          <w:rFonts w:cs="FrankRuehl" w:hint="cs"/>
          <w:rtl/>
        </w:rPr>
        <w:t xml:space="preserve">ובעובד עונתי שתי עונות בשתי שנים רצופות </w:t>
      </w:r>
      <w:r>
        <w:rPr>
          <w:rStyle w:val="default"/>
          <w:rFonts w:cs="FrankRuehl"/>
          <w:rtl/>
        </w:rPr>
        <w:t xml:space="preserve">– </w:t>
      </w:r>
      <w:r>
        <w:rPr>
          <w:rStyle w:val="default"/>
          <w:rFonts w:cs="FrankRuehl" w:hint="cs"/>
          <w:rtl/>
        </w:rPr>
        <w:t xml:space="preserve">אצל מעביד אחד או במקום עבודה אחד </w:t>
      </w:r>
      <w:r w:rsidRPr="00CB1989">
        <w:rPr>
          <w:rStyle w:val="default"/>
          <w:rFonts w:cs="FrankRuehl" w:hint="cs"/>
          <w:rtl/>
        </w:rPr>
        <w:t>ופוטר, זכאי לקבל ממעבידו שפיטרו פיצויי פיטורים.</w:t>
      </w:r>
    </w:p>
  </w:footnote>
  <w:footnote w:id="2">
    <w:p w:rsidR="00CB1989" w:rsidRDefault="00CB1989" w:rsidP="00CB1989">
      <w:pPr>
        <w:pStyle w:val="P00"/>
        <w:tabs>
          <w:tab w:val="clear" w:pos="624"/>
          <w:tab w:val="clear" w:pos="1021"/>
          <w:tab w:val="clear" w:pos="1474"/>
          <w:tab w:val="clear" w:pos="1928"/>
          <w:tab w:val="clear" w:pos="2381"/>
          <w:tab w:val="clear" w:pos="2835"/>
          <w:tab w:val="clear" w:pos="6259"/>
        </w:tabs>
        <w:spacing w:before="72"/>
        <w:ind w:left="0" w:right="1134"/>
        <w:rPr>
          <w:rStyle w:val="default"/>
          <w:rFonts w:cs="FrankRuehl"/>
          <w:rtl/>
        </w:rPr>
      </w:pPr>
      <w:r w:rsidRPr="00CB1989">
        <w:rPr>
          <w:rStyle w:val="ab"/>
        </w:rPr>
        <w:footnoteRef/>
      </w:r>
      <w:r w:rsidRPr="00CB1989">
        <w:rPr>
          <w:rtl/>
        </w:rPr>
        <w:t xml:space="preserve"> </w:t>
      </w:r>
      <w:r w:rsidRPr="00CB1989">
        <w:rPr>
          <w:rStyle w:val="default"/>
          <w:rFonts w:cs="FrankRuehl" w:hint="cs"/>
          <w:rtl/>
        </w:rPr>
        <w:t>8.</w:t>
      </w:r>
      <w:r w:rsidRPr="00CB1989">
        <w:rPr>
          <w:rStyle w:val="default"/>
          <w:rFonts w:cs="FrankRuehl" w:hint="cs"/>
          <w:rtl/>
        </w:rPr>
        <w:tab/>
      </w:r>
      <w:r w:rsidRPr="00CB1989">
        <w:rPr>
          <w:rStyle w:val="default"/>
          <w:rFonts w:cs="FrankRuehl" w:hint="eastAsia"/>
          <w:rtl/>
        </w:rPr>
        <w:t>ההפקדות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ותשלומי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המעביד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עבור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רכיב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פיצויי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הפיטורים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בהתאם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לאמור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בסעיף</w:t>
      </w:r>
      <w:r w:rsidRPr="00CB1989">
        <w:rPr>
          <w:rStyle w:val="default"/>
          <w:rFonts w:cs="FrankRuehl"/>
          <w:rtl/>
        </w:rPr>
        <w:t xml:space="preserve"> 7 </w:t>
      </w:r>
      <w:r w:rsidRPr="00CB1989">
        <w:rPr>
          <w:rStyle w:val="default"/>
          <w:rFonts w:cs="FrankRuehl" w:hint="eastAsia"/>
          <w:rtl/>
        </w:rPr>
        <w:t>לעיל</w:t>
      </w:r>
      <w:r w:rsidRPr="00CB1989">
        <w:rPr>
          <w:rStyle w:val="default"/>
          <w:rFonts w:cs="FrankRuehl"/>
          <w:rtl/>
        </w:rPr>
        <w:t xml:space="preserve">, </w:t>
      </w:r>
      <w:r w:rsidRPr="00CB1989">
        <w:rPr>
          <w:rStyle w:val="default"/>
          <w:rFonts w:cs="FrankRuehl" w:hint="eastAsia"/>
          <w:rtl/>
        </w:rPr>
        <w:t>לא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ניתנות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להחזרה</w:t>
      </w:r>
      <w:r w:rsidRPr="00CB1989">
        <w:rPr>
          <w:rStyle w:val="default"/>
          <w:rFonts w:cs="FrankRuehl"/>
          <w:rtl/>
        </w:rPr>
        <w:t xml:space="preserve"> </w:t>
      </w:r>
      <w:r w:rsidRPr="00CB1989">
        <w:rPr>
          <w:rStyle w:val="default"/>
          <w:rFonts w:cs="FrankRuehl" w:hint="eastAsia"/>
          <w:rtl/>
        </w:rPr>
        <w:t>למעביד</w:t>
      </w:r>
      <w:r w:rsidRPr="00557CD2">
        <w:rPr>
          <w:rStyle w:val="default"/>
          <w:rFonts w:cs="FrankRuehl"/>
          <w:rtl/>
        </w:rPr>
        <w:t xml:space="preserve">, </w:t>
      </w:r>
      <w:r w:rsidRPr="00557CD2">
        <w:rPr>
          <w:rStyle w:val="default"/>
          <w:rFonts w:cs="FrankRuehl" w:hint="eastAsia"/>
          <w:rtl/>
        </w:rPr>
        <w:t>למעט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במקרה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בו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העובד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משך</w:t>
      </w:r>
      <w:r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כספים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מקופת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הגמל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לפני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שקמה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לו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או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לשאיריו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זכאות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לקבלת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כספים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מקופת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הגמל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לפי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תקנונה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בשל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אירוע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מזכה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בלבד</w:t>
      </w:r>
      <w:r w:rsidRPr="00557CD2">
        <w:rPr>
          <w:rStyle w:val="default"/>
          <w:rFonts w:cs="FrankRuehl"/>
          <w:rtl/>
        </w:rPr>
        <w:t xml:space="preserve">. </w:t>
      </w:r>
    </w:p>
    <w:p w:rsidR="00CB1989" w:rsidRDefault="00CB1989" w:rsidP="00CB1989">
      <w:pPr>
        <w:pStyle w:val="a9"/>
        <w:rPr>
          <w:rtl/>
        </w:rPr>
      </w:pPr>
      <w:r w:rsidRPr="00557CD2">
        <w:rPr>
          <w:rStyle w:val="default"/>
          <w:rFonts w:cs="FrankRuehl" w:hint="eastAsia"/>
          <w:rtl/>
        </w:rPr>
        <w:t>״אירוע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מזכה״</w:t>
      </w:r>
      <w:r w:rsidRPr="00557CD2">
        <w:rPr>
          <w:rStyle w:val="default"/>
          <w:rFonts w:cs="FrankRuehl"/>
          <w:rtl/>
        </w:rPr>
        <w:t xml:space="preserve"> - </w:t>
      </w:r>
      <w:r w:rsidRPr="00557CD2">
        <w:rPr>
          <w:rStyle w:val="default"/>
          <w:rFonts w:cs="FrankRuehl" w:hint="eastAsia"/>
          <w:rtl/>
        </w:rPr>
        <w:t>מוות</w:t>
      </w:r>
      <w:r w:rsidRPr="00557CD2">
        <w:rPr>
          <w:rStyle w:val="default"/>
          <w:rFonts w:cs="FrankRuehl"/>
          <w:rtl/>
        </w:rPr>
        <w:t xml:space="preserve">, </w:t>
      </w:r>
      <w:r w:rsidRPr="00557CD2">
        <w:rPr>
          <w:rStyle w:val="default"/>
          <w:rFonts w:cs="FrankRuehl" w:hint="eastAsia"/>
          <w:rtl/>
        </w:rPr>
        <w:t>נכות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או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פרישה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בגיל</w:t>
      </w:r>
      <w:r w:rsidRPr="00557CD2">
        <w:rPr>
          <w:rStyle w:val="default"/>
          <w:rFonts w:cs="FrankRuehl"/>
          <w:rtl/>
        </w:rPr>
        <w:t xml:space="preserve"> 60 </w:t>
      </w:r>
      <w:r w:rsidRPr="00557CD2">
        <w:rPr>
          <w:rStyle w:val="default"/>
          <w:rFonts w:cs="FrankRuehl" w:hint="eastAsia"/>
          <w:rtl/>
        </w:rPr>
        <w:t>ויותר</w:t>
      </w:r>
      <w:r w:rsidRPr="00557CD2">
        <w:rPr>
          <w:rStyle w:val="default"/>
          <w:rFonts w:cs="FrankRuehl"/>
          <w:rtl/>
        </w:rPr>
        <w:t xml:space="preserve">, </w:t>
      </w:r>
      <w:r w:rsidRPr="00557CD2">
        <w:rPr>
          <w:rStyle w:val="default"/>
          <w:rFonts w:cs="FrankRuehl" w:hint="eastAsia"/>
          <w:rtl/>
        </w:rPr>
        <w:t>ולמעט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אם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נשללה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זכות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העובד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לפיצויי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פיטורים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בפסק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דין</w:t>
      </w:r>
      <w:r w:rsidRPr="00557CD2">
        <w:rPr>
          <w:rStyle w:val="default"/>
          <w:rFonts w:cs="FrankRuehl"/>
          <w:rtl/>
        </w:rPr>
        <w:t xml:space="preserve"> </w:t>
      </w:r>
      <w:proofErr w:type="spellStart"/>
      <w:r w:rsidRPr="00557CD2">
        <w:rPr>
          <w:rStyle w:val="default"/>
          <w:rFonts w:cs="FrankRuehl" w:hint="eastAsia"/>
          <w:rtl/>
        </w:rPr>
        <w:t>מכח</w:t>
      </w:r>
      <w:proofErr w:type="spellEnd"/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סעיפים</w:t>
      </w:r>
      <w:r w:rsidRPr="00557CD2">
        <w:rPr>
          <w:rStyle w:val="default"/>
          <w:rFonts w:cs="FrankRuehl"/>
          <w:rtl/>
        </w:rPr>
        <w:t xml:space="preserve"> 16 </w:t>
      </w:r>
      <w:r w:rsidRPr="00557CD2">
        <w:rPr>
          <w:rStyle w:val="default"/>
          <w:rFonts w:cs="FrankRuehl" w:hint="eastAsia"/>
          <w:rtl/>
        </w:rPr>
        <w:t>ו</w:t>
      </w:r>
      <w:r w:rsidRPr="00557CD2">
        <w:rPr>
          <w:rStyle w:val="default"/>
          <w:rFonts w:cs="FrankRuehl"/>
          <w:rtl/>
        </w:rPr>
        <w:t xml:space="preserve"> - 17 </w:t>
      </w:r>
      <w:r w:rsidRPr="00557CD2">
        <w:rPr>
          <w:rStyle w:val="default"/>
          <w:rFonts w:cs="FrankRuehl" w:hint="eastAsia"/>
          <w:rtl/>
        </w:rPr>
        <w:t>לחוק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פיצויי</w:t>
      </w:r>
      <w:r w:rsidRPr="00557CD2">
        <w:rPr>
          <w:rStyle w:val="default"/>
          <w:rFonts w:cs="FrankRuehl"/>
          <w:rtl/>
        </w:rPr>
        <w:t xml:space="preserve"> </w:t>
      </w:r>
      <w:r w:rsidRPr="00557CD2">
        <w:rPr>
          <w:rStyle w:val="default"/>
          <w:rFonts w:cs="FrankRuehl" w:hint="eastAsia"/>
          <w:rtl/>
        </w:rPr>
        <w:t>פיטורים</w:t>
      </w:r>
      <w:r w:rsidRPr="00557CD2">
        <w:rPr>
          <w:rStyle w:val="default"/>
          <w:rFonts w:cs="FrankRuehl"/>
          <w:rtl/>
        </w:rPr>
        <w:t>.</w:t>
      </w:r>
    </w:p>
  </w:footnote>
  <w:footnote w:id="3">
    <w:p w:rsidR="00E8509A" w:rsidRDefault="00E8509A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proofErr w:type="spellStart"/>
      <w:r w:rsidRPr="0047160F">
        <w:rPr>
          <w:rFonts w:hint="cs"/>
          <w:rtl/>
        </w:rPr>
        <w:t>עע</w:t>
      </w:r>
      <w:proofErr w:type="spellEnd"/>
      <w:r w:rsidRPr="0047160F">
        <w:rPr>
          <w:rFonts w:hint="cs"/>
          <w:rtl/>
        </w:rPr>
        <w:t xml:space="preserve">(ארצי) 633/09 </w:t>
      </w:r>
      <w:r w:rsidRPr="0047160F">
        <w:rPr>
          <w:rtl/>
        </w:rPr>
        <w:t>–</w:t>
      </w:r>
      <w:r w:rsidRPr="0047160F">
        <w:rPr>
          <w:rFonts w:hint="cs"/>
          <w:rtl/>
        </w:rPr>
        <w:t xml:space="preserve"> אולג </w:t>
      </w:r>
      <w:proofErr w:type="spellStart"/>
      <w:r w:rsidRPr="0047160F">
        <w:rPr>
          <w:rFonts w:hint="cs"/>
          <w:rtl/>
        </w:rPr>
        <w:t>לונגו</w:t>
      </w:r>
      <w:proofErr w:type="spellEnd"/>
      <w:r>
        <w:rPr>
          <w:rFonts w:hint="cs"/>
          <w:rtl/>
        </w:rPr>
        <w:t xml:space="preserve">; </w:t>
      </w:r>
      <w:proofErr w:type="spellStart"/>
      <w:r w:rsidRPr="0047160F">
        <w:rPr>
          <w:rtl/>
        </w:rPr>
        <w:t>עע</w:t>
      </w:r>
      <w:proofErr w:type="spellEnd"/>
      <w:r w:rsidRPr="0047160F">
        <w:rPr>
          <w:rtl/>
        </w:rPr>
        <w:t xml:space="preserve">(ארצי) 137-08 – מטין </w:t>
      </w:r>
      <w:proofErr w:type="spellStart"/>
      <w:r w:rsidRPr="0047160F">
        <w:rPr>
          <w:rtl/>
        </w:rPr>
        <w:t>אילינדז</w:t>
      </w:r>
      <w:proofErr w:type="spellEnd"/>
    </w:p>
  </w:footnote>
  <w:footnote w:id="4">
    <w:p w:rsidR="00E8509A" w:rsidRDefault="00E8509A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סע' 14 לחוק פיצויי פיטורים ביחד עם סע' 9 לצו ההרחבה בנוגע לפנסיה</w:t>
      </w:r>
    </w:p>
  </w:footnote>
  <w:footnote w:id="5">
    <w:p w:rsidR="00CB1989" w:rsidRPr="00CB1989" w:rsidRDefault="00CB1989" w:rsidP="00CB1989">
      <w:pPr>
        <w:rPr>
          <w:sz w:val="20"/>
          <w:szCs w:val="20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r w:rsidRPr="00CB1989">
        <w:rPr>
          <w:rFonts w:hint="cs"/>
          <w:sz w:val="20"/>
          <w:szCs w:val="20"/>
          <w:rtl/>
        </w:rPr>
        <w:t xml:space="preserve">ובפרט בפסקי הדין שלהלן:- </w:t>
      </w:r>
      <w:proofErr w:type="spellStart"/>
      <w:r w:rsidRPr="00CB1989">
        <w:rPr>
          <w:rFonts w:hint="cs"/>
          <w:sz w:val="20"/>
          <w:szCs w:val="20"/>
          <w:rtl/>
        </w:rPr>
        <w:t>עע</w:t>
      </w:r>
      <w:proofErr w:type="spellEnd"/>
      <w:r w:rsidRPr="00CB1989">
        <w:rPr>
          <w:rFonts w:hint="cs"/>
          <w:sz w:val="20"/>
          <w:szCs w:val="20"/>
          <w:rtl/>
        </w:rPr>
        <w:t xml:space="preserve"> (ארצי) 145/07 - </w:t>
      </w:r>
      <w:proofErr w:type="spellStart"/>
      <w:r w:rsidRPr="00CB1989">
        <w:rPr>
          <w:rFonts w:hint="cs"/>
          <w:sz w:val="20"/>
          <w:szCs w:val="20"/>
          <w:u w:val="single"/>
          <w:rtl/>
        </w:rPr>
        <w:t>גדיק</w:t>
      </w:r>
      <w:proofErr w:type="spellEnd"/>
      <w:r w:rsidRPr="00CB1989">
        <w:rPr>
          <w:rFonts w:hint="cs"/>
          <w:sz w:val="20"/>
          <w:szCs w:val="20"/>
          <w:u w:val="single"/>
          <w:rtl/>
        </w:rPr>
        <w:t xml:space="preserve"> </w:t>
      </w:r>
      <w:proofErr w:type="spellStart"/>
      <w:r w:rsidRPr="00CB1989">
        <w:rPr>
          <w:rFonts w:hint="cs"/>
          <w:sz w:val="20"/>
          <w:szCs w:val="20"/>
          <w:u w:val="single"/>
          <w:rtl/>
        </w:rPr>
        <w:t>אוגוסטין</w:t>
      </w:r>
      <w:proofErr w:type="spellEnd"/>
      <w:r w:rsidRPr="00CB1989">
        <w:rPr>
          <w:rFonts w:hint="cs"/>
          <w:sz w:val="20"/>
          <w:szCs w:val="20"/>
          <w:u w:val="single"/>
          <w:rtl/>
        </w:rPr>
        <w:t xml:space="preserve"> נ' אהרון המל</w:t>
      </w:r>
      <w:r>
        <w:rPr>
          <w:rFonts w:hint="cs"/>
          <w:rtl/>
        </w:rPr>
        <w:t xml:space="preserve">; </w:t>
      </w:r>
      <w:r w:rsidRPr="00CB1989">
        <w:rPr>
          <w:rFonts w:hint="cs"/>
          <w:sz w:val="20"/>
          <w:szCs w:val="20"/>
          <w:rtl/>
        </w:rPr>
        <w:t xml:space="preserve">עב (ת"א) 7205/02, נשוא הערעור </w:t>
      </w:r>
      <w:proofErr w:type="spellStart"/>
      <w:r w:rsidRPr="00CB1989">
        <w:rPr>
          <w:rFonts w:hint="cs"/>
          <w:sz w:val="20"/>
          <w:szCs w:val="20"/>
          <w:rtl/>
        </w:rPr>
        <w:t>בעע</w:t>
      </w:r>
      <w:proofErr w:type="spellEnd"/>
      <w:r w:rsidRPr="00CB1989">
        <w:rPr>
          <w:rFonts w:hint="cs"/>
          <w:sz w:val="20"/>
          <w:szCs w:val="20"/>
          <w:rtl/>
        </w:rPr>
        <w:t xml:space="preserve"> (ארצי) 145/07</w:t>
      </w:r>
    </w:p>
  </w:footnote>
  <w:footnote w:id="6">
    <w:p w:rsidR="0047160F" w:rsidRPr="0047160F" w:rsidRDefault="0047160F" w:rsidP="0047160F">
      <w:pPr>
        <w:spacing w:after="0" w:line="240" w:lineRule="auto"/>
        <w:rPr>
          <w:sz w:val="20"/>
          <w:szCs w:val="20"/>
          <w:rtl/>
        </w:rPr>
      </w:pPr>
      <w:r>
        <w:rPr>
          <w:rStyle w:val="ab"/>
        </w:rPr>
        <w:footnoteRef/>
      </w:r>
      <w:r>
        <w:rPr>
          <w:rtl/>
        </w:rPr>
        <w:t xml:space="preserve"> </w:t>
      </w:r>
      <w:proofErr w:type="spellStart"/>
      <w:r w:rsidRPr="0047160F">
        <w:rPr>
          <w:rFonts w:hint="cs"/>
          <w:sz w:val="20"/>
          <w:szCs w:val="20"/>
          <w:rtl/>
        </w:rPr>
        <w:t>עע</w:t>
      </w:r>
      <w:proofErr w:type="spellEnd"/>
      <w:r w:rsidRPr="0047160F">
        <w:rPr>
          <w:rFonts w:hint="cs"/>
          <w:sz w:val="20"/>
          <w:szCs w:val="20"/>
          <w:rtl/>
        </w:rPr>
        <w:t xml:space="preserve">(ארצי) 633/09 </w:t>
      </w:r>
      <w:r w:rsidRPr="0047160F">
        <w:rPr>
          <w:sz w:val="20"/>
          <w:szCs w:val="20"/>
          <w:rtl/>
        </w:rPr>
        <w:t>–</w:t>
      </w:r>
      <w:r w:rsidRPr="0047160F">
        <w:rPr>
          <w:rFonts w:hint="cs"/>
          <w:sz w:val="20"/>
          <w:szCs w:val="20"/>
          <w:rtl/>
        </w:rPr>
        <w:t xml:space="preserve"> אולג </w:t>
      </w:r>
      <w:proofErr w:type="spellStart"/>
      <w:r w:rsidRPr="0047160F">
        <w:rPr>
          <w:rFonts w:hint="cs"/>
          <w:sz w:val="20"/>
          <w:szCs w:val="20"/>
          <w:rtl/>
        </w:rPr>
        <w:t>לונגו</w:t>
      </w:r>
      <w:proofErr w:type="spellEnd"/>
      <w:r>
        <w:rPr>
          <w:rFonts w:hint="cs"/>
          <w:sz w:val="20"/>
          <w:szCs w:val="20"/>
          <w:rtl/>
        </w:rPr>
        <w:t xml:space="preserve">; </w:t>
      </w:r>
      <w:proofErr w:type="spellStart"/>
      <w:r w:rsidRPr="0047160F">
        <w:rPr>
          <w:sz w:val="20"/>
          <w:szCs w:val="20"/>
          <w:rtl/>
        </w:rPr>
        <w:t>עע</w:t>
      </w:r>
      <w:proofErr w:type="spellEnd"/>
      <w:r w:rsidRPr="0047160F">
        <w:rPr>
          <w:sz w:val="20"/>
          <w:szCs w:val="20"/>
          <w:rtl/>
        </w:rPr>
        <w:t xml:space="preserve">(ארצי) 137-08 – מטין </w:t>
      </w:r>
      <w:proofErr w:type="spellStart"/>
      <w:r w:rsidRPr="0047160F">
        <w:rPr>
          <w:sz w:val="20"/>
          <w:szCs w:val="20"/>
          <w:rtl/>
        </w:rPr>
        <w:t>אילינדז</w:t>
      </w:r>
      <w:proofErr w:type="spellEnd"/>
      <w:r>
        <w:rPr>
          <w:rFonts w:hint="cs"/>
          <w:sz w:val="20"/>
          <w:szCs w:val="20"/>
          <w:rtl/>
        </w:rPr>
        <w:t xml:space="preserve">; </w:t>
      </w:r>
      <w:proofErr w:type="spellStart"/>
      <w:r w:rsidRPr="0047160F">
        <w:rPr>
          <w:sz w:val="20"/>
          <w:szCs w:val="20"/>
          <w:rtl/>
        </w:rPr>
        <w:t>עא</w:t>
      </w:r>
      <w:proofErr w:type="spellEnd"/>
      <w:r w:rsidRPr="0047160F">
        <w:rPr>
          <w:sz w:val="20"/>
          <w:szCs w:val="20"/>
          <w:rtl/>
        </w:rPr>
        <w:t xml:space="preserve"> (ת"א) 3375/07 – </w:t>
      </w:r>
      <w:proofErr w:type="spellStart"/>
      <w:r w:rsidRPr="0047160F">
        <w:rPr>
          <w:sz w:val="20"/>
          <w:szCs w:val="20"/>
          <w:rtl/>
        </w:rPr>
        <w:t>ארקוצ</w:t>
      </w:r>
      <w:proofErr w:type="spellEnd"/>
      <w:r w:rsidRPr="0047160F">
        <w:rPr>
          <w:sz w:val="20"/>
          <w:szCs w:val="20"/>
          <w:rtl/>
        </w:rPr>
        <w:t>' אבאס</w:t>
      </w:r>
    </w:p>
    <w:p w:rsidR="0047160F" w:rsidRPr="0047160F" w:rsidRDefault="0047160F" w:rsidP="0047160F">
      <w:pPr>
        <w:rPr>
          <w:sz w:val="20"/>
          <w:szCs w:val="20"/>
          <w:rtl/>
        </w:rPr>
      </w:pPr>
    </w:p>
    <w:p w:rsidR="0047160F" w:rsidRDefault="0047160F">
      <w:pPr>
        <w:pStyle w:val="a9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D1" w:rsidRDefault="0047160F" w:rsidP="00FF325D">
    <w:pPr>
      <w:pStyle w:val="a3"/>
      <w:tabs>
        <w:tab w:val="clear" w:pos="8306"/>
      </w:tabs>
      <w:ind w:left="-58" w:right="-1800" w:hanging="1701"/>
    </w:pPr>
    <w:r>
      <w:rPr>
        <w:noProof/>
      </w:rPr>
      <w:drawing>
        <wp:inline distT="0" distB="0" distL="0" distR="0" wp14:anchorId="30089E77" wp14:editId="55B3F646">
          <wp:extent cx="7524750" cy="1881187"/>
          <wp:effectExtent l="0" t="0" r="0" b="508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tamat_7976_template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88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9"/>
    <w:rsid w:val="0010650B"/>
    <w:rsid w:val="0047160F"/>
    <w:rsid w:val="004F4D2C"/>
    <w:rsid w:val="006F3778"/>
    <w:rsid w:val="00CA7EA9"/>
    <w:rsid w:val="00CB1989"/>
    <w:rsid w:val="00E552C4"/>
    <w:rsid w:val="00E8509A"/>
    <w:rsid w:val="00E94E93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8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B1989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B1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B1989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CB1989"/>
    <w:rPr>
      <w:color w:val="0000FF" w:themeColor="hyperlink"/>
      <w:u w:val="single"/>
    </w:rPr>
  </w:style>
  <w:style w:type="character" w:customStyle="1" w:styleId="default">
    <w:name w:val="default"/>
    <w:basedOn w:val="a0"/>
    <w:rsid w:val="00CB198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basedOn w:val="default"/>
    <w:rsid w:val="00CB1989"/>
    <w:rPr>
      <w:rFonts w:ascii="Times New Roman" w:hAnsi="Times New Roman" w:cs="Times New Roman"/>
      <w:sz w:val="32"/>
      <w:szCs w:val="32"/>
    </w:rPr>
  </w:style>
  <w:style w:type="paragraph" w:customStyle="1" w:styleId="P00">
    <w:name w:val="P00"/>
    <w:rsid w:val="00CB198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CB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B1989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B1989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CB1989"/>
    <w:rPr>
      <w:rFonts w:ascii="Calibri" w:eastAsia="Times New Roman" w:hAnsi="Calibri"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19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89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B1989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CB1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B1989"/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unhideWhenUsed/>
    <w:rsid w:val="00CB1989"/>
    <w:rPr>
      <w:color w:val="0000FF" w:themeColor="hyperlink"/>
      <w:u w:val="single"/>
    </w:rPr>
  </w:style>
  <w:style w:type="character" w:customStyle="1" w:styleId="default">
    <w:name w:val="default"/>
    <w:basedOn w:val="a0"/>
    <w:rsid w:val="00CB198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basedOn w:val="default"/>
    <w:rsid w:val="00CB1989"/>
    <w:rPr>
      <w:rFonts w:ascii="Times New Roman" w:hAnsi="Times New Roman" w:cs="Times New Roman"/>
      <w:sz w:val="32"/>
      <w:szCs w:val="32"/>
    </w:rPr>
  </w:style>
  <w:style w:type="paragraph" w:customStyle="1" w:styleId="P00">
    <w:name w:val="P00"/>
    <w:rsid w:val="00CB198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CB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B1989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B1989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CB1989"/>
    <w:rPr>
      <w:rFonts w:ascii="Calibri" w:eastAsia="Times New Roman" w:hAnsi="Calibri" w:cs="Arial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B1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017F-E52E-49D9-A9B9-36009439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IndestryTrade And Labor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Roni Livneh</cp:lastModifiedBy>
  <cp:revision>2</cp:revision>
  <dcterms:created xsi:type="dcterms:W3CDTF">2014-06-19T08:29:00Z</dcterms:created>
  <dcterms:modified xsi:type="dcterms:W3CDTF">2014-06-19T08:29:00Z</dcterms:modified>
</cp:coreProperties>
</file>